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776B9" w14:textId="77777777" w:rsidR="002C208D"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18628581" w14:textId="77777777" w:rsidR="002C208D" w:rsidRDefault="002C208D">
      <w:pPr>
        <w:spacing w:line="540" w:lineRule="exact"/>
        <w:jc w:val="center"/>
        <w:rPr>
          <w:rFonts w:ascii="华文中宋" w:eastAsia="华文中宋" w:hAnsi="华文中宋" w:cs="宋体" w:hint="eastAsia"/>
          <w:b/>
          <w:kern w:val="0"/>
          <w:sz w:val="52"/>
          <w:szCs w:val="52"/>
        </w:rPr>
      </w:pPr>
    </w:p>
    <w:p w14:paraId="16A867BA" w14:textId="77777777" w:rsidR="002C208D" w:rsidRDefault="002C208D">
      <w:pPr>
        <w:spacing w:line="540" w:lineRule="exact"/>
        <w:jc w:val="center"/>
        <w:rPr>
          <w:rFonts w:ascii="华文中宋" w:eastAsia="华文中宋" w:hAnsi="华文中宋" w:cs="宋体" w:hint="eastAsia"/>
          <w:b/>
          <w:kern w:val="0"/>
          <w:sz w:val="52"/>
          <w:szCs w:val="52"/>
        </w:rPr>
      </w:pPr>
    </w:p>
    <w:p w14:paraId="55A01772" w14:textId="77777777" w:rsidR="002C208D" w:rsidRDefault="002C208D">
      <w:pPr>
        <w:spacing w:line="540" w:lineRule="exact"/>
        <w:jc w:val="center"/>
        <w:rPr>
          <w:rFonts w:ascii="华文中宋" w:eastAsia="华文中宋" w:hAnsi="华文中宋" w:cs="宋体" w:hint="eastAsia"/>
          <w:b/>
          <w:kern w:val="0"/>
          <w:sz w:val="52"/>
          <w:szCs w:val="52"/>
        </w:rPr>
      </w:pPr>
    </w:p>
    <w:p w14:paraId="79B05830" w14:textId="77777777" w:rsidR="002C208D" w:rsidRDefault="002C208D">
      <w:pPr>
        <w:spacing w:line="540" w:lineRule="exact"/>
        <w:jc w:val="center"/>
        <w:rPr>
          <w:rFonts w:ascii="华文中宋" w:eastAsia="华文中宋" w:hAnsi="华文中宋" w:cs="宋体" w:hint="eastAsia"/>
          <w:b/>
          <w:kern w:val="0"/>
          <w:sz w:val="52"/>
          <w:szCs w:val="52"/>
        </w:rPr>
      </w:pPr>
    </w:p>
    <w:p w14:paraId="7D34193A" w14:textId="77777777" w:rsidR="002C208D" w:rsidRDefault="002C208D">
      <w:pPr>
        <w:spacing w:line="540" w:lineRule="exact"/>
        <w:jc w:val="center"/>
        <w:rPr>
          <w:rFonts w:ascii="华文中宋" w:eastAsia="华文中宋" w:hAnsi="华文中宋" w:cs="宋体" w:hint="eastAsia"/>
          <w:b/>
          <w:kern w:val="0"/>
          <w:sz w:val="52"/>
          <w:szCs w:val="52"/>
        </w:rPr>
      </w:pPr>
    </w:p>
    <w:p w14:paraId="52B8C692" w14:textId="77777777" w:rsidR="002C208D" w:rsidRDefault="002C208D">
      <w:pPr>
        <w:spacing w:line="540" w:lineRule="exact"/>
        <w:jc w:val="center"/>
        <w:rPr>
          <w:rFonts w:ascii="华文中宋" w:eastAsia="华文中宋" w:hAnsi="华文中宋" w:cs="宋体" w:hint="eastAsia"/>
          <w:b/>
          <w:kern w:val="0"/>
          <w:sz w:val="52"/>
          <w:szCs w:val="52"/>
        </w:rPr>
      </w:pPr>
    </w:p>
    <w:p w14:paraId="15A6BCA9" w14:textId="77777777" w:rsidR="002C208D"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38A06F45" w14:textId="77777777" w:rsidR="002C208D" w:rsidRDefault="002C208D">
      <w:pPr>
        <w:spacing w:line="540" w:lineRule="exact"/>
        <w:jc w:val="center"/>
        <w:rPr>
          <w:rFonts w:ascii="华文中宋" w:eastAsia="华文中宋" w:hAnsi="华文中宋" w:cs="宋体" w:hint="eastAsia"/>
          <w:b/>
          <w:kern w:val="0"/>
          <w:sz w:val="52"/>
          <w:szCs w:val="52"/>
        </w:rPr>
      </w:pPr>
    </w:p>
    <w:p w14:paraId="7DD975AA" w14:textId="77777777" w:rsidR="002C208D"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1A840587" w14:textId="77777777" w:rsidR="002C208D" w:rsidRDefault="002C208D">
      <w:pPr>
        <w:spacing w:line="540" w:lineRule="exact"/>
        <w:jc w:val="center"/>
        <w:rPr>
          <w:rFonts w:eastAsia="仿宋_GB2312" w:hAnsi="宋体" w:cs="宋体" w:hint="eastAsia"/>
          <w:kern w:val="0"/>
          <w:sz w:val="30"/>
          <w:szCs w:val="30"/>
        </w:rPr>
      </w:pPr>
    </w:p>
    <w:p w14:paraId="55D4CECE" w14:textId="77777777" w:rsidR="002C208D" w:rsidRDefault="002C208D">
      <w:pPr>
        <w:spacing w:line="540" w:lineRule="exact"/>
        <w:jc w:val="center"/>
        <w:rPr>
          <w:rFonts w:eastAsia="仿宋_GB2312" w:hAnsi="宋体" w:cs="宋体" w:hint="eastAsia"/>
          <w:kern w:val="0"/>
          <w:sz w:val="30"/>
          <w:szCs w:val="30"/>
        </w:rPr>
      </w:pPr>
    </w:p>
    <w:p w14:paraId="600E889B" w14:textId="77777777" w:rsidR="002C208D" w:rsidRDefault="002C208D">
      <w:pPr>
        <w:spacing w:line="540" w:lineRule="exact"/>
        <w:jc w:val="center"/>
        <w:rPr>
          <w:rFonts w:eastAsia="仿宋_GB2312" w:hAnsi="宋体" w:cs="宋体" w:hint="eastAsia"/>
          <w:kern w:val="0"/>
          <w:sz w:val="30"/>
          <w:szCs w:val="30"/>
        </w:rPr>
      </w:pPr>
    </w:p>
    <w:p w14:paraId="289B7EFF" w14:textId="77777777" w:rsidR="002C208D" w:rsidRDefault="002C208D">
      <w:pPr>
        <w:spacing w:line="540" w:lineRule="exact"/>
        <w:jc w:val="center"/>
        <w:rPr>
          <w:rFonts w:eastAsia="仿宋_GB2312" w:hAnsi="宋体" w:cs="宋体" w:hint="eastAsia"/>
          <w:kern w:val="0"/>
          <w:sz w:val="30"/>
          <w:szCs w:val="30"/>
        </w:rPr>
      </w:pPr>
    </w:p>
    <w:p w14:paraId="7063CA8F" w14:textId="77777777" w:rsidR="002C208D" w:rsidRDefault="002C208D">
      <w:pPr>
        <w:spacing w:line="540" w:lineRule="exact"/>
        <w:jc w:val="center"/>
        <w:rPr>
          <w:rFonts w:eastAsia="仿宋_GB2312" w:hAnsi="宋体" w:cs="宋体" w:hint="eastAsia"/>
          <w:kern w:val="0"/>
          <w:sz w:val="30"/>
          <w:szCs w:val="30"/>
        </w:rPr>
      </w:pPr>
    </w:p>
    <w:p w14:paraId="3F5ECC8E" w14:textId="77777777" w:rsidR="002C208D" w:rsidRDefault="002C208D">
      <w:pPr>
        <w:spacing w:line="540" w:lineRule="exact"/>
        <w:jc w:val="center"/>
        <w:rPr>
          <w:rFonts w:eastAsia="仿宋_GB2312" w:hAnsi="宋体" w:cs="宋体" w:hint="eastAsia"/>
          <w:kern w:val="0"/>
          <w:sz w:val="30"/>
          <w:szCs w:val="30"/>
        </w:rPr>
      </w:pPr>
    </w:p>
    <w:p w14:paraId="32DA4020" w14:textId="77777777" w:rsidR="002C208D" w:rsidRDefault="002C208D">
      <w:pPr>
        <w:spacing w:line="540" w:lineRule="exact"/>
        <w:rPr>
          <w:rFonts w:eastAsia="仿宋_GB2312" w:hAnsi="宋体" w:cs="宋体" w:hint="eastAsia"/>
          <w:kern w:val="0"/>
          <w:sz w:val="30"/>
          <w:szCs w:val="30"/>
        </w:rPr>
      </w:pPr>
    </w:p>
    <w:p w14:paraId="79DACB9C" w14:textId="77777777" w:rsidR="002C208D"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59C22485" w14:textId="77777777" w:rsidR="002C208D"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2024年中央现代职业教育质量提升计划资金</w:t>
      </w:r>
    </w:p>
    <w:p w14:paraId="07FFDE1B" w14:textId="77777777" w:rsidR="002C208D"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木垒哈萨克自治县中等职业技术学校</w:t>
      </w:r>
    </w:p>
    <w:p w14:paraId="7DF878D6" w14:textId="77777777" w:rsidR="002C208D"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木垒哈萨克自治县中等职业技术学校</w:t>
      </w:r>
    </w:p>
    <w:p w14:paraId="4040B170" w14:textId="77777777" w:rsidR="002C208D"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王云</w:t>
      </w:r>
    </w:p>
    <w:p w14:paraId="0CE3EDBB" w14:textId="77777777" w:rsidR="002C208D"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2025年04月29日</w:t>
      </w:r>
    </w:p>
    <w:p w14:paraId="1F23E2D2" w14:textId="77777777" w:rsidR="002C208D" w:rsidRDefault="002C208D">
      <w:pPr>
        <w:spacing w:line="700" w:lineRule="exact"/>
        <w:ind w:firstLineChars="236" w:firstLine="708"/>
        <w:jc w:val="left"/>
        <w:rPr>
          <w:rFonts w:eastAsia="仿宋_GB2312" w:hAnsi="宋体" w:cs="宋体" w:hint="eastAsia"/>
          <w:kern w:val="0"/>
          <w:sz w:val="30"/>
          <w:szCs w:val="30"/>
        </w:rPr>
      </w:pPr>
    </w:p>
    <w:p w14:paraId="3EC15B7F" w14:textId="77777777" w:rsidR="002C208D" w:rsidRDefault="002C208D">
      <w:pPr>
        <w:spacing w:line="540" w:lineRule="exact"/>
        <w:rPr>
          <w:rStyle w:val="ad"/>
          <w:rFonts w:ascii="黑体" w:eastAsia="黑体" w:hAnsi="黑体" w:hint="eastAsia"/>
          <w:b w:val="0"/>
          <w:spacing w:val="-4"/>
          <w:sz w:val="32"/>
          <w:szCs w:val="32"/>
        </w:rPr>
      </w:pPr>
    </w:p>
    <w:p w14:paraId="1ADFDC60" w14:textId="77777777" w:rsidR="002C208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1915FC0F" w14:textId="77777777" w:rsidR="002C208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7B73933A" w14:textId="17E86248"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（一）项目概况</w:t>
      </w:r>
      <w:r>
        <w:rPr>
          <w:rStyle w:val="ad"/>
          <w:rFonts w:ascii="楷体" w:eastAsia="楷体" w:hAnsi="楷体" w:hint="eastAsia"/>
          <w:b w:val="0"/>
          <w:bCs w:val="0"/>
          <w:spacing w:val="-4"/>
          <w:sz w:val="32"/>
          <w:szCs w:val="32"/>
        </w:rPr>
        <w:br/>
        <w:t>1.项目背景</w:t>
      </w:r>
      <w:r>
        <w:rPr>
          <w:rStyle w:val="ad"/>
          <w:rFonts w:ascii="楷体" w:eastAsia="楷体" w:hAnsi="楷体" w:hint="eastAsia"/>
          <w:b w:val="0"/>
          <w:bCs w:val="0"/>
          <w:spacing w:val="-4"/>
          <w:sz w:val="32"/>
          <w:szCs w:val="32"/>
        </w:rPr>
        <w:br/>
        <w:t>2024年，木垒哈萨克自治县中等职业技术学校依据昌</w:t>
      </w:r>
      <w:proofErr w:type="gramStart"/>
      <w:r>
        <w:rPr>
          <w:rStyle w:val="ad"/>
          <w:rFonts w:ascii="楷体" w:eastAsia="楷体" w:hAnsi="楷体" w:hint="eastAsia"/>
          <w:b w:val="0"/>
          <w:bCs w:val="0"/>
          <w:spacing w:val="-4"/>
          <w:sz w:val="32"/>
          <w:szCs w:val="32"/>
        </w:rPr>
        <w:t>州财教</w:t>
      </w:r>
      <w:proofErr w:type="gramEnd"/>
      <w:r>
        <w:rPr>
          <w:rStyle w:val="ad"/>
          <w:rFonts w:ascii="楷体" w:eastAsia="楷体" w:hAnsi="楷体" w:hint="eastAsia"/>
          <w:b w:val="0"/>
          <w:bCs w:val="0"/>
          <w:spacing w:val="-4"/>
          <w:sz w:val="32"/>
          <w:szCs w:val="32"/>
        </w:rPr>
        <w:t>（2024）3号2024年现代职业教育质量提升计划专项文件，严格按照</w:t>
      </w:r>
      <w:r w:rsidR="00354CDB">
        <w:rPr>
          <w:rStyle w:val="ad"/>
          <w:rFonts w:ascii="楷体" w:eastAsia="楷体" w:hAnsi="楷体" w:hint="eastAsia"/>
          <w:b w:val="0"/>
          <w:bCs w:val="0"/>
          <w:spacing w:val="-4"/>
          <w:sz w:val="32"/>
          <w:szCs w:val="32"/>
        </w:rPr>
        <w:t>中央八项规定</w:t>
      </w:r>
      <w:r>
        <w:rPr>
          <w:rStyle w:val="ad"/>
          <w:rFonts w:ascii="楷体" w:eastAsia="楷体" w:hAnsi="楷体" w:hint="eastAsia"/>
          <w:b w:val="0"/>
          <w:bCs w:val="0"/>
          <w:spacing w:val="-4"/>
          <w:sz w:val="32"/>
          <w:szCs w:val="32"/>
        </w:rPr>
        <w:t>和省、市、县有关文件精神，坚持“依章办事、服务大局、围绕中心、突出重点、求真务实”的工作方针，压缩开支，进一步规范会计核算行为，成立了项目管理工作领导小组，制定了详细的财务管理制度，实行财务与业务分工管理。在资金使用上,我们一直按照国家财经法规和机关财务管理制度规定，以及有关专项资金管理办法的规定开支。资金结算有完整的审批程序和手续，按照财经制度的有关要求，做到专款专用，项目物资专人保管，保证资金使用的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性。预期资金投入200万元，使用200万元。</w:t>
      </w:r>
      <w:r>
        <w:rPr>
          <w:rStyle w:val="ad"/>
          <w:rFonts w:ascii="楷体" w:eastAsia="楷体" w:hAnsi="楷体" w:hint="eastAsia"/>
          <w:b w:val="0"/>
          <w:bCs w:val="0"/>
          <w:spacing w:val="-4"/>
          <w:sz w:val="32"/>
          <w:szCs w:val="32"/>
        </w:rPr>
        <w:br/>
        <w:t>现代职业教育发展离不开完备的体系，这种纵向贯通、横向融通的教育体系是提升人力资本水平和推动人的全面发展的重要路径。在深化教育供给侧结构性改革的背景下，需要提高职业教育供给适应引领创造新需求的能力。这就要求在普职等值和中高衔接的理念指导下，延伸职业教育发展链条，构建现代职业教育体系，以适应广大职业教育受教育者的个性化、差异化、品质化需求，持续扩大优质职业教育服务供给。其中，既要稳步发展职业本科教育，也要发挥专科高等职业教育的骨干作用，并夯实中等职业教育的基础地位，重视培训体系建设，开展高质量培训。</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2.项目主要内容</w:t>
      </w:r>
      <w:r>
        <w:rPr>
          <w:rStyle w:val="ad"/>
          <w:rFonts w:ascii="楷体" w:eastAsia="楷体" w:hAnsi="楷体" w:hint="eastAsia"/>
          <w:b w:val="0"/>
          <w:bCs w:val="0"/>
          <w:spacing w:val="-4"/>
          <w:sz w:val="32"/>
          <w:szCs w:val="32"/>
        </w:rPr>
        <w:br/>
        <w:t>根据昌</w:t>
      </w:r>
      <w:proofErr w:type="gramStart"/>
      <w:r>
        <w:rPr>
          <w:rStyle w:val="ad"/>
          <w:rFonts w:ascii="楷体" w:eastAsia="楷体" w:hAnsi="楷体" w:hint="eastAsia"/>
          <w:b w:val="0"/>
          <w:bCs w:val="0"/>
          <w:spacing w:val="-4"/>
          <w:sz w:val="32"/>
          <w:szCs w:val="32"/>
        </w:rPr>
        <w:t>州财教</w:t>
      </w:r>
      <w:proofErr w:type="gramEnd"/>
      <w:r>
        <w:rPr>
          <w:rStyle w:val="ad"/>
          <w:rFonts w:ascii="楷体" w:eastAsia="楷体" w:hAnsi="楷体" w:hint="eastAsia"/>
          <w:b w:val="0"/>
          <w:bCs w:val="0"/>
          <w:spacing w:val="-4"/>
          <w:sz w:val="32"/>
          <w:szCs w:val="32"/>
        </w:rPr>
        <w:t>（2024）3号文件批复，下达我单位2024年现代职业教育质量提升计划专项</w:t>
      </w:r>
      <w:proofErr w:type="gramStart"/>
      <w:r>
        <w:rPr>
          <w:rStyle w:val="ad"/>
          <w:rFonts w:ascii="楷体" w:eastAsia="楷体" w:hAnsi="楷体" w:hint="eastAsia"/>
          <w:b w:val="0"/>
          <w:bCs w:val="0"/>
          <w:spacing w:val="-4"/>
          <w:sz w:val="32"/>
          <w:szCs w:val="32"/>
        </w:rPr>
        <w:t>套设施</w:t>
      </w:r>
      <w:proofErr w:type="gramEnd"/>
      <w:r>
        <w:rPr>
          <w:rStyle w:val="ad"/>
          <w:rFonts w:ascii="楷体" w:eastAsia="楷体" w:hAnsi="楷体" w:hint="eastAsia"/>
          <w:b w:val="0"/>
          <w:bCs w:val="0"/>
          <w:spacing w:val="-4"/>
          <w:sz w:val="32"/>
          <w:szCs w:val="32"/>
        </w:rPr>
        <w:t>项目资金200万元，用于修建围墙长度300米，安装路灯数量30盏。</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本项目由木垒哈萨克自治县中等职业技术学校牵头，已完成修建300米围墙，路灯30盏，暖气管道维修维护，食堂电路维修维护，浴室装饰装修，改善学校办公条件，贯彻落实《国家职业教育改革实施方案》等各项改革任务，深化产教融合，校企合作，给全校所有学生学习在学校、生活在学校、成长在学校的良好条件。通过项目的实施提升了学生们学习质量，提升了教育公平感以及个人发展的信心。促进了教育机会均等社会人才培养以及促进社会和谐稳定。</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2024年中央现代职业教育质量提升计划资金项目资金于2024年1月20日木垒县财政局下发的昌</w:t>
      </w:r>
      <w:proofErr w:type="gramStart"/>
      <w:r>
        <w:rPr>
          <w:rStyle w:val="ad"/>
          <w:rFonts w:ascii="楷体" w:eastAsia="楷体" w:hAnsi="楷体" w:hint="eastAsia"/>
          <w:b w:val="0"/>
          <w:bCs w:val="0"/>
          <w:spacing w:val="-4"/>
          <w:sz w:val="32"/>
          <w:szCs w:val="32"/>
        </w:rPr>
        <w:t>州财教</w:t>
      </w:r>
      <w:proofErr w:type="gramEnd"/>
      <w:r>
        <w:rPr>
          <w:rStyle w:val="ad"/>
          <w:rFonts w:ascii="楷体" w:eastAsia="楷体" w:hAnsi="楷体" w:hint="eastAsia"/>
          <w:b w:val="0"/>
          <w:bCs w:val="0"/>
          <w:spacing w:val="-4"/>
          <w:sz w:val="32"/>
          <w:szCs w:val="32"/>
        </w:rPr>
        <w:t>（2024）3号文件安排资金为200万元，为上级财政资金，实际到位200万元，资金到位率100%，实际执行200万元，执行率100%，资金落实到位。资金主要用于修建围墙长度300米，安装路灯数量30盏。为确保项目资金的安全有效使用、安全运行，提高资金的使用效率，我单位严格按照木垒哈萨克自治县中等职业技术学校财务会计内部控制制度执行，资金由财政大平台统一拨付，由财政监管，严禁随意调整预算，改变支出用途，做到专款专用，严禁截留、挪用、挤占项目资金等违规违纪问题的发生。</w:t>
      </w:r>
    </w:p>
    <w:p w14:paraId="1BE418BA" w14:textId="77777777" w:rsidR="002C208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18954667" w14:textId="77777777"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（二）项目绩效目标</w:t>
      </w:r>
      <w:r>
        <w:rPr>
          <w:rStyle w:val="ad"/>
          <w:rFonts w:ascii="楷体" w:eastAsia="楷体" w:hAnsi="楷体" w:hint="eastAsia"/>
          <w:b w:val="0"/>
          <w:bCs w:val="0"/>
          <w:spacing w:val="-4"/>
          <w:sz w:val="32"/>
          <w:szCs w:val="32"/>
        </w:rPr>
        <w:br/>
        <w:t>1.总体目标</w:t>
      </w:r>
      <w:r>
        <w:rPr>
          <w:rStyle w:val="ad"/>
          <w:rFonts w:ascii="楷体" w:eastAsia="楷体" w:hAnsi="楷体" w:hint="eastAsia"/>
          <w:b w:val="0"/>
          <w:bCs w:val="0"/>
          <w:spacing w:val="-4"/>
          <w:sz w:val="32"/>
          <w:szCs w:val="32"/>
        </w:rPr>
        <w:br/>
        <w:t>木垒哈萨克自治县中等职业技术学校2024年中央现代职业教育质量提升计划</w:t>
      </w:r>
      <w:proofErr w:type="gramStart"/>
      <w:r>
        <w:rPr>
          <w:rStyle w:val="ad"/>
          <w:rFonts w:ascii="楷体" w:eastAsia="楷体" w:hAnsi="楷体" w:hint="eastAsia"/>
          <w:b w:val="0"/>
          <w:bCs w:val="0"/>
          <w:spacing w:val="-4"/>
          <w:sz w:val="32"/>
          <w:szCs w:val="32"/>
        </w:rPr>
        <w:t>资金资金</w:t>
      </w:r>
      <w:proofErr w:type="gramEnd"/>
      <w:r>
        <w:rPr>
          <w:rStyle w:val="ad"/>
          <w:rFonts w:ascii="楷体" w:eastAsia="楷体" w:hAnsi="楷体" w:hint="eastAsia"/>
          <w:b w:val="0"/>
          <w:bCs w:val="0"/>
          <w:spacing w:val="-4"/>
          <w:sz w:val="32"/>
          <w:szCs w:val="32"/>
        </w:rPr>
        <w:t>安排200万元；用于修建300米围墙，路灯30盏，暖气管道维修维护，食堂电路维修维护，浴室装饰装修，改善学校办公条件，贯彻落实《国家职业教育改革实施方案》等各项改革任务，深化产教融合，校企合作，给全校所有学生学习在学校、生活在学校、成长在学校的良好条件。</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2.12024年3月29日前完成招标工作，确定了新疆诚信建设工程有限责任公司单位为项目的施工单位。</w:t>
      </w:r>
      <w:r>
        <w:rPr>
          <w:rStyle w:val="ad"/>
          <w:rFonts w:ascii="楷体" w:eastAsia="楷体" w:hAnsi="楷体" w:hint="eastAsia"/>
          <w:b w:val="0"/>
          <w:bCs w:val="0"/>
          <w:spacing w:val="-4"/>
          <w:sz w:val="32"/>
          <w:szCs w:val="32"/>
        </w:rPr>
        <w:br/>
        <w:t>2.22022年11月15日前完成用于修建300米围墙，路灯30盏，暖气管道维修维护，食堂电路维修维护，浴室装饰装修。</w:t>
      </w:r>
    </w:p>
    <w:p w14:paraId="31BAA50D" w14:textId="77777777" w:rsidR="002C208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605AB013" w14:textId="77777777" w:rsidR="002C208D"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1221A644" w14:textId="77777777"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通过对2024年度上级财政下拨的2024年中央现代职业教育质量提升计划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2024年中央现代职业教育质量提升计划资金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2024年中央现代职业教育质量提升计划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（4）《自治区财政支出绩效评价管理暂行办法》（新财预〔2018〕189号）；</w:t>
      </w:r>
      <w:r>
        <w:rPr>
          <w:rStyle w:val="ad"/>
          <w:rFonts w:ascii="楷体" w:eastAsia="楷体" w:hAnsi="楷体" w:hint="eastAsia"/>
          <w:b w:val="0"/>
          <w:bCs w:val="0"/>
          <w:spacing w:val="-4"/>
          <w:sz w:val="32"/>
          <w:szCs w:val="32"/>
        </w:rPr>
        <w:br/>
        <w:t>（5）《2024年现代职业教育质量提升计划》（昌</w:t>
      </w:r>
      <w:proofErr w:type="gramStart"/>
      <w:r>
        <w:rPr>
          <w:rStyle w:val="ad"/>
          <w:rFonts w:ascii="楷体" w:eastAsia="楷体" w:hAnsi="楷体" w:hint="eastAsia"/>
          <w:b w:val="0"/>
          <w:bCs w:val="0"/>
          <w:spacing w:val="-4"/>
          <w:sz w:val="32"/>
          <w:szCs w:val="32"/>
        </w:rPr>
        <w:t>州财教</w:t>
      </w:r>
      <w:proofErr w:type="gramEnd"/>
      <w:r>
        <w:rPr>
          <w:rStyle w:val="ad"/>
          <w:rFonts w:ascii="楷体" w:eastAsia="楷体" w:hAnsi="楷体" w:hint="eastAsia"/>
          <w:b w:val="0"/>
          <w:bCs w:val="0"/>
          <w:spacing w:val="-4"/>
          <w:sz w:val="32"/>
          <w:szCs w:val="32"/>
        </w:rPr>
        <w:t>（2024）3号）</w:t>
      </w:r>
    </w:p>
    <w:p w14:paraId="2FF43E9E" w14:textId="77777777" w:rsidR="002C208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48130AEA" w14:textId="77777777"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w:t>
      </w:r>
      <w:r>
        <w:rPr>
          <w:rStyle w:val="ad"/>
          <w:rFonts w:ascii="楷体" w:eastAsia="楷体" w:hAnsi="楷体" w:hint="eastAsia"/>
          <w:b w:val="0"/>
          <w:bCs w:val="0"/>
          <w:spacing w:val="-4"/>
          <w:sz w:val="32"/>
          <w:szCs w:val="32"/>
        </w:rPr>
        <w:lastRenderedPageBreak/>
        <w:t>“谁支出、谁自评”。部门评价和财政评价应在单位自评的基础上开展，必要时可委托第三方机构实施。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w:t>
      </w:r>
      <w:r>
        <w:rPr>
          <w:rStyle w:val="ad"/>
          <w:rFonts w:ascii="楷体" w:eastAsia="楷体" w:hAnsi="楷体" w:hint="eastAsia"/>
          <w:b w:val="0"/>
          <w:bCs w:val="0"/>
          <w:spacing w:val="-4"/>
          <w:sz w:val="32"/>
          <w:szCs w:val="32"/>
        </w:rPr>
        <w:lastRenderedPageBreak/>
        <w:t>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D9692D8" w14:textId="77777777" w:rsidR="002C208D"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348C2829" w14:textId="77777777"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曾凯军为评价小组组长，主要负责工作安排，对项目策划和监督，全面负责项目绩效评价报告的最终质量，对评估人员出具的最终报告质量进行复核，确保评估结果的客观性；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王云为副组长，主要负责报告的审核、指导；</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白映刚为</w:t>
      </w:r>
      <w:proofErr w:type="gramEnd"/>
      <w:r>
        <w:rPr>
          <w:rStyle w:val="ad"/>
          <w:rFonts w:ascii="楷体" w:eastAsia="楷体" w:hAnsi="楷体" w:hint="eastAsia"/>
          <w:b w:val="0"/>
          <w:bCs w:val="0"/>
          <w:spacing w:val="-4"/>
          <w:sz w:val="32"/>
          <w:szCs w:val="32"/>
        </w:rPr>
        <w:t>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w:t>
      </w:r>
      <w:r>
        <w:rPr>
          <w:rStyle w:val="ad"/>
          <w:rFonts w:ascii="楷体" w:eastAsia="楷体" w:hAnsi="楷体" w:hint="eastAsia"/>
          <w:b w:val="0"/>
          <w:bCs w:val="0"/>
          <w:spacing w:val="-4"/>
          <w:sz w:val="32"/>
          <w:szCs w:val="32"/>
        </w:rPr>
        <w:lastRenderedPageBreak/>
        <w:t>策制度、实施方案和相关的工作文件，为评价工作的开展提供工作指引。</w:t>
      </w:r>
      <w:r>
        <w:rPr>
          <w:rStyle w:val="ad"/>
          <w:rFonts w:ascii="楷体" w:eastAsia="楷体" w:hAnsi="楷体" w:hint="eastAsia"/>
          <w:b w:val="0"/>
          <w:bCs w:val="0"/>
          <w:spacing w:val="-4"/>
          <w:sz w:val="32"/>
          <w:szCs w:val="32"/>
        </w:rPr>
        <w:br/>
        <w:t>1.22025年3月2日，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br/>
        <w:t>2.1</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7FED6F81" w14:textId="77777777" w:rsidR="002C208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52DB940F" w14:textId="77777777"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w:t>
      </w:r>
      <w:r>
        <w:rPr>
          <w:rStyle w:val="ad"/>
          <w:rFonts w:ascii="楷体" w:eastAsia="楷体" w:hAnsi="楷体" w:hint="eastAsia"/>
          <w:b w:val="0"/>
          <w:bCs w:val="0"/>
          <w:spacing w:val="-4"/>
          <w:sz w:val="32"/>
          <w:szCs w:val="32"/>
        </w:rPr>
        <w:lastRenderedPageBreak/>
        <w:t>价。经评价，本项目部分达成年初设立的绩效目标，在实施过程中取得了良好的成效，具体表现在：通过项目的实施提升了学生们学习质量，提升了教育公平感以及个人发展的信心。促进了教育机会均等社会人才培养以及促进社会和谐稳定。</w:t>
      </w:r>
      <w:r>
        <w:rPr>
          <w:rStyle w:val="ad"/>
          <w:rFonts w:ascii="楷体" w:eastAsia="楷体" w:hAnsi="楷体" w:hint="eastAsia"/>
          <w:b w:val="0"/>
          <w:bCs w:val="0"/>
          <w:spacing w:val="-4"/>
          <w:sz w:val="32"/>
          <w:szCs w:val="32"/>
        </w:rPr>
        <w:br/>
        <w:t>评价结论</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p>
    <w:p w14:paraId="4CCBE861" w14:textId="77777777" w:rsidR="002C208D"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459E9E6A" w14:textId="77777777" w:rsidR="002C208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713025CA" w14:textId="77777777" w:rsidR="002C208D"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项目决策类指标由4个二级指标和6个三级指标构成，权重分15分，实际得分15分。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《关于下达2024年现代职业教育质量提升计划资金预算的通知》（</w:t>
      </w:r>
      <w:proofErr w:type="gramStart"/>
      <w:r>
        <w:rPr>
          <w:rStyle w:val="ad"/>
          <w:rFonts w:ascii="楷体" w:eastAsia="楷体" w:hAnsi="楷体" w:hint="eastAsia"/>
          <w:b w:val="0"/>
          <w:bCs w:val="0"/>
          <w:spacing w:val="-4"/>
          <w:sz w:val="32"/>
          <w:szCs w:val="32"/>
        </w:rPr>
        <w:t>财教〔2024〕</w:t>
      </w:r>
      <w:proofErr w:type="gramEnd"/>
      <w:r>
        <w:rPr>
          <w:rStyle w:val="ad"/>
          <w:rFonts w:ascii="楷体" w:eastAsia="楷体" w:hAnsi="楷体" w:hint="eastAsia"/>
          <w:b w:val="0"/>
          <w:bCs w:val="0"/>
          <w:spacing w:val="-4"/>
          <w:sz w:val="32"/>
          <w:szCs w:val="32"/>
        </w:rPr>
        <w:t>63号）。</w:t>
      </w:r>
      <w:r>
        <w:rPr>
          <w:rStyle w:val="ad"/>
          <w:rFonts w:ascii="楷体" w:eastAsia="楷体" w:hAnsi="楷体" w:hint="eastAsia"/>
          <w:b w:val="0"/>
          <w:bCs w:val="0"/>
          <w:spacing w:val="-4"/>
          <w:sz w:val="32"/>
          <w:szCs w:val="32"/>
        </w:rPr>
        <w:br/>
        <w:t>《现代职业教育质量提升计划资金管理办法》（</w:t>
      </w:r>
      <w:proofErr w:type="gramStart"/>
      <w:r>
        <w:rPr>
          <w:rStyle w:val="ad"/>
          <w:rFonts w:ascii="楷体" w:eastAsia="楷体" w:hAnsi="楷体" w:hint="eastAsia"/>
          <w:b w:val="0"/>
          <w:bCs w:val="0"/>
          <w:spacing w:val="-4"/>
          <w:sz w:val="32"/>
          <w:szCs w:val="32"/>
        </w:rPr>
        <w:t>财教〔2021〕</w:t>
      </w:r>
      <w:proofErr w:type="gramEnd"/>
      <w:r>
        <w:rPr>
          <w:rStyle w:val="ad"/>
          <w:rFonts w:ascii="楷体" w:eastAsia="楷体" w:hAnsi="楷体" w:hint="eastAsia"/>
          <w:b w:val="0"/>
          <w:bCs w:val="0"/>
          <w:spacing w:val="-4"/>
          <w:sz w:val="32"/>
          <w:szCs w:val="32"/>
        </w:rPr>
        <w:t>270号）。</w:t>
      </w:r>
      <w:r>
        <w:rPr>
          <w:rStyle w:val="ad"/>
          <w:rFonts w:ascii="楷体" w:eastAsia="楷体" w:hAnsi="楷体" w:hint="eastAsia"/>
          <w:b w:val="0"/>
          <w:bCs w:val="0"/>
          <w:spacing w:val="-4"/>
          <w:sz w:val="32"/>
          <w:szCs w:val="32"/>
        </w:rPr>
        <w:br/>
        <w:t>《国务院办公厅关于印发教育领域中央与地方财政事权和支出责任划分改革方案的通知》（国办发〔2019〕27号）</w:t>
      </w:r>
      <w:r>
        <w:rPr>
          <w:rStyle w:val="ad"/>
          <w:rFonts w:ascii="楷体" w:eastAsia="楷体" w:hAnsi="楷体" w:hint="eastAsia"/>
          <w:b w:val="0"/>
          <w:bCs w:val="0"/>
          <w:spacing w:val="-4"/>
          <w:sz w:val="32"/>
          <w:szCs w:val="32"/>
        </w:rPr>
        <w:br/>
        <w:t>综上所述，本指标满分为2分，根据评分标准得2分，本项目立项依据充分。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②审批文件、材料：本项目审批文件有：《昌州财教（2024）3号》审批文件及材料齐全；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t>综上所述，本指标满分为2分，根据评分标准得2分，本项目立项程序规范。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2024年中央现代职业教育质量提升计划资金项目已设立项目绩效目标，具体内容为“（木垒哈萨克自治县中等职业技术学校2024年中央现代职业教育质量提升计划</w:t>
      </w:r>
      <w:proofErr w:type="gramStart"/>
      <w:r>
        <w:rPr>
          <w:rStyle w:val="ad"/>
          <w:rFonts w:ascii="楷体" w:eastAsia="楷体" w:hAnsi="楷体" w:hint="eastAsia"/>
          <w:b w:val="0"/>
          <w:bCs w:val="0"/>
          <w:spacing w:val="-4"/>
          <w:sz w:val="32"/>
          <w:szCs w:val="32"/>
        </w:rPr>
        <w:t>资金资金</w:t>
      </w:r>
      <w:proofErr w:type="gramEnd"/>
      <w:r>
        <w:rPr>
          <w:rStyle w:val="ad"/>
          <w:rFonts w:ascii="楷体" w:eastAsia="楷体" w:hAnsi="楷体" w:hint="eastAsia"/>
          <w:b w:val="0"/>
          <w:bCs w:val="0"/>
          <w:spacing w:val="-4"/>
          <w:sz w:val="32"/>
          <w:szCs w:val="32"/>
        </w:rPr>
        <w:t>安排200万元；用于修建300米围墙，路灯30盏，暖气管道维修维护，食堂电路维修维护，浴室装饰装修，改善学校办公条件，贯彻落实《国家职业教育改革实施方案》等各项改革任务，深化产教融合，校企合作，给全校所有学生学习在学校、生活在学校、成长在学校</w:t>
      </w:r>
      <w:r>
        <w:rPr>
          <w:rStyle w:val="ad"/>
          <w:rFonts w:ascii="楷体" w:eastAsia="楷体" w:hAnsi="楷体" w:hint="eastAsia"/>
          <w:b w:val="0"/>
          <w:bCs w:val="0"/>
          <w:spacing w:val="-4"/>
          <w:sz w:val="32"/>
          <w:szCs w:val="32"/>
        </w:rPr>
        <w:lastRenderedPageBreak/>
        <w:t>的良好条件。）”，与本单位实际工作具有相关性，绩效目标与实际工作内容一致，本项目按照绩效目标完成了数量指标、质量指标、时效指标、成本指标，通过项目的实施提升了学生们学习质量，提升了教育公平感以及个人发展的信心。促进了教育机会均等社会人才培养以及促进社会和谐稳定。，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2024年中央现代职业教育质量提升计划资金项目将项目绩效目标细化分解为具体的绩效指标，一级指标共4条，二级指标共6条，三级指标共13条，其中定量指标数量共12条，指标量化率92.31%，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本项目预算编制参照《2024年中央现代职业教育质量提升计划资金》得出，项目预算编制根据项目内容进行计算，预算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支委会会议确定，预算内容与项目内容无偏差，预算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br/>
        <w:t>综上所述，本指标满分为4.00分，根据评分标准4.00分，本项目预算编制科学。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6.资金分配合理性</w:t>
      </w:r>
      <w:r>
        <w:rPr>
          <w:rStyle w:val="ad"/>
          <w:rFonts w:ascii="楷体" w:eastAsia="楷体" w:hAnsi="楷体" w:hint="eastAsia"/>
          <w:b w:val="0"/>
          <w:bCs w:val="0"/>
          <w:spacing w:val="-4"/>
          <w:sz w:val="32"/>
          <w:szCs w:val="32"/>
        </w:rPr>
        <w:br/>
        <w:t>本项目预算资金分配以《昌州财教（2024）3号》为依据进行资金分配，预算资金分配依据充分。项目资金分配额度无偏低或偏高情况，分配额度合理。根据《2024年中央现代职业教育质量提升计划资金》（昌</w:t>
      </w:r>
      <w:proofErr w:type="gramStart"/>
      <w:r>
        <w:rPr>
          <w:rStyle w:val="ad"/>
          <w:rFonts w:ascii="楷体" w:eastAsia="楷体" w:hAnsi="楷体" w:hint="eastAsia"/>
          <w:b w:val="0"/>
          <w:bCs w:val="0"/>
          <w:spacing w:val="-4"/>
          <w:sz w:val="32"/>
          <w:szCs w:val="32"/>
        </w:rPr>
        <w:t>州财教</w:t>
      </w:r>
      <w:proofErr w:type="gramEnd"/>
      <w:r>
        <w:rPr>
          <w:rStyle w:val="ad"/>
          <w:rFonts w:ascii="楷体" w:eastAsia="楷体" w:hAnsi="楷体" w:hint="eastAsia"/>
          <w:b w:val="0"/>
          <w:bCs w:val="0"/>
          <w:spacing w:val="-4"/>
          <w:sz w:val="32"/>
          <w:szCs w:val="32"/>
        </w:rPr>
        <w:t>（2024）3号）文件显示，本项目实际到位资金200万元，实际分配资金与我单位提交申请的资金额度一致，资金分配额度合理，与我单位实际需求相适应。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br/>
        <w:t>综上所述，本指标满分为2.00分，根据评分标准得2.00分，本项目资金分配合理。</w:t>
      </w:r>
      <w:r>
        <w:rPr>
          <w:rStyle w:val="ad"/>
          <w:rFonts w:ascii="楷体" w:eastAsia="楷体" w:hAnsi="楷体" w:hint="eastAsia"/>
          <w:b w:val="0"/>
          <w:bCs w:val="0"/>
          <w:spacing w:val="-4"/>
          <w:sz w:val="32"/>
          <w:szCs w:val="32"/>
        </w:rPr>
        <w:tab/>
      </w:r>
    </w:p>
    <w:p w14:paraId="5F26BC0E" w14:textId="77777777" w:rsidR="002C208D"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6C0940B9" w14:textId="77777777"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本项目预算资金为200万元，其中：自治区财政安排资金200万元，其他资金0万元，实际到位资金200万元，资金到位率=（实际到位资金/预算资金）×100.00%=（200/200）*100.00%=100%。得分=资金到位率*分值=100.00%*3=3.00分。</w:t>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本项目年初预算数0万元，全年预算数200万元，全年执行数200万元，预算执行率=（实际支出资金/实际到位资金）×100.00%=（200/200）*100.00%=100%。得分=预算执行率*分值=100%*5=5分。</w:t>
      </w:r>
      <w:r>
        <w:rPr>
          <w:rStyle w:val="ad"/>
          <w:rFonts w:ascii="楷体" w:eastAsia="楷体" w:hAnsi="楷体" w:hint="eastAsia"/>
          <w:b w:val="0"/>
          <w:bCs w:val="0"/>
          <w:spacing w:val="-4"/>
          <w:sz w:val="32"/>
          <w:szCs w:val="32"/>
        </w:rPr>
        <w:br/>
        <w:t>综上所述，本指标满分为5.00分，根据评分标准得5分，本项目预算按计划执行。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3.1本项目资金使用符合、财务管理制度以及有关专项资金管理办法的规定；</w:t>
      </w:r>
      <w:r>
        <w:rPr>
          <w:rStyle w:val="ad"/>
          <w:rFonts w:ascii="楷体" w:eastAsia="楷体" w:hAnsi="楷体" w:hint="eastAsia"/>
          <w:b w:val="0"/>
          <w:bCs w:val="0"/>
          <w:spacing w:val="-4"/>
          <w:sz w:val="32"/>
          <w:szCs w:val="32"/>
        </w:rPr>
        <w:br/>
        <w:t>3.2资金的拨付严格按照木垒县中等职业技术学校资金拨付审批程序进行：由采购科室提交办公室申请到分管领导，经审批后提交到主管领导。项目资金拨付手续齐全，资金拨付手续有：资金支付申请单、发票、合同。</w:t>
      </w:r>
      <w:r>
        <w:rPr>
          <w:rStyle w:val="ad"/>
          <w:rFonts w:ascii="楷体" w:eastAsia="楷体" w:hAnsi="楷体" w:hint="eastAsia"/>
          <w:b w:val="0"/>
          <w:bCs w:val="0"/>
          <w:spacing w:val="-4"/>
          <w:sz w:val="32"/>
          <w:szCs w:val="32"/>
        </w:rPr>
        <w:br/>
        <w:t>3.3本项目资金合同规定的用途为：工程款、审计费、招标费、咨询费、监理费。符合项目预算批复及合同规定的用途；</w:t>
      </w:r>
      <w:r>
        <w:rPr>
          <w:rStyle w:val="ad"/>
          <w:rFonts w:ascii="楷体" w:eastAsia="楷体" w:hAnsi="楷体" w:hint="eastAsia"/>
          <w:b w:val="0"/>
          <w:bCs w:val="0"/>
          <w:spacing w:val="-4"/>
          <w:sz w:val="32"/>
          <w:szCs w:val="32"/>
        </w:rPr>
        <w:br/>
        <w:t>3.4项目资金截至2024年12月31日已拨付至100%，过程不存在截留、挤占、挪用、虚列支出等情况。</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本项目已制定《木垒县中等职业技术学校2024年中央现代职业教育质量提升计划资金项目财务管理制度》、《木垒县中等职业技术学校单位2024年中央现代职业教育质量提升计划资金项目业务管理制度》，管理制度健全；</w:t>
      </w:r>
      <w:r>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4.2本项目财务及业务管理制度符合《中华人民共和国政府采购法》、《中华人民共和国会计法》等相关法律法规，财务和业务管理制度已经过支委会审批通过，确保了各项制度的合法合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w:t>
      </w:r>
      <w:r>
        <w:rPr>
          <w:rStyle w:val="ad"/>
          <w:rFonts w:ascii="楷体" w:eastAsia="楷体" w:hAnsi="楷体" w:hint="eastAsia"/>
          <w:b w:val="0"/>
          <w:bCs w:val="0"/>
          <w:spacing w:val="-4"/>
          <w:sz w:val="32"/>
          <w:szCs w:val="32"/>
        </w:rPr>
        <w:lastRenderedPageBreak/>
        <w:t>中：</w:t>
      </w:r>
      <w:r>
        <w:rPr>
          <w:rStyle w:val="ad"/>
          <w:rFonts w:ascii="楷体" w:eastAsia="楷体" w:hAnsi="楷体" w:hint="eastAsia"/>
          <w:b w:val="0"/>
          <w:bCs w:val="0"/>
          <w:spacing w:val="-4"/>
          <w:sz w:val="32"/>
          <w:szCs w:val="32"/>
        </w:rPr>
        <w:br/>
        <w:t>5.1项目的审批、招标、建设、验收过程均遵守相关法律法规和相关管理规定；</w:t>
      </w:r>
      <w:r>
        <w:rPr>
          <w:rStyle w:val="ad"/>
          <w:rFonts w:ascii="楷体" w:eastAsia="楷体" w:hAnsi="楷体" w:hint="eastAsia"/>
          <w:b w:val="0"/>
          <w:bCs w:val="0"/>
          <w:spacing w:val="-4"/>
          <w:sz w:val="32"/>
          <w:szCs w:val="32"/>
        </w:rPr>
        <w:br/>
        <w:t>5.2本项目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5.3项目合同书、验收报告、技术鉴定等资料齐全并已及时归档；</w:t>
      </w:r>
      <w:r>
        <w:rPr>
          <w:rStyle w:val="ad"/>
          <w:rFonts w:ascii="楷体" w:eastAsia="楷体" w:hAnsi="楷体" w:hint="eastAsia"/>
          <w:b w:val="0"/>
          <w:bCs w:val="0"/>
          <w:spacing w:val="-4"/>
          <w:sz w:val="32"/>
          <w:szCs w:val="32"/>
        </w:rPr>
        <w:br/>
        <w:t>5.4项目实施的人员条件、场地设备、信息支撑等均已落实到位。</w:t>
      </w:r>
      <w:r>
        <w:rPr>
          <w:rStyle w:val="ad"/>
          <w:rFonts w:ascii="楷体" w:eastAsia="楷体" w:hAnsi="楷体" w:hint="eastAsia"/>
          <w:b w:val="0"/>
          <w:bCs w:val="0"/>
          <w:spacing w:val="-4"/>
          <w:sz w:val="32"/>
          <w:szCs w:val="32"/>
        </w:rPr>
        <w:br/>
        <w:t>综上所述，本指标满分为4分，根据评分标准得4分，本项目所建立制度执行有效。</w:t>
      </w:r>
    </w:p>
    <w:p w14:paraId="3A04D8AB" w14:textId="77777777" w:rsidR="002C208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66F8DB7B" w14:textId="77777777"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我单位2024年中央现代职业教育质量提升计划资金项目截止到2024年12月31日，已完成修建300米围墙，路灯30盏，暖气管道维修维护，食堂电路维修维护，浴室装饰装修；其中：</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指标1：修建围墙长度，预期指标值：≥300米，实际完成值300米，指标完成率100%；</w:t>
      </w:r>
      <w:r>
        <w:rPr>
          <w:rStyle w:val="ad"/>
          <w:rFonts w:ascii="楷体" w:eastAsia="楷体" w:hAnsi="楷体" w:hint="eastAsia"/>
          <w:b w:val="0"/>
          <w:bCs w:val="0"/>
          <w:spacing w:val="-4"/>
          <w:sz w:val="32"/>
          <w:szCs w:val="32"/>
        </w:rPr>
        <w:br/>
        <w:t>指标2：路灯数量，预期指标值：≥30盏，实际完成值30盏，指标完成率100%。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指标1：工程质量验收合格率，预期指标值：=100%，实际完成值100%，指标完成率100%。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指标1：项目完成时间，预期指标值：2024年10月5日，实际</w:t>
      </w:r>
      <w:r>
        <w:rPr>
          <w:rStyle w:val="ad"/>
          <w:rFonts w:ascii="楷体" w:eastAsia="楷体" w:hAnsi="楷体" w:hint="eastAsia"/>
          <w:b w:val="0"/>
          <w:bCs w:val="0"/>
          <w:spacing w:val="-4"/>
          <w:sz w:val="32"/>
          <w:szCs w:val="32"/>
        </w:rPr>
        <w:lastRenderedPageBreak/>
        <w:t>完成值2024年10月5日，指标完成率100%；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br/>
        <w:t>指标1：绿化工程费用，预期指标值：≤123.58万元，实际完成值123.58万元，指标完成率100%；</w:t>
      </w:r>
      <w:r>
        <w:rPr>
          <w:rStyle w:val="ad"/>
          <w:rFonts w:ascii="楷体" w:eastAsia="楷体" w:hAnsi="楷体" w:hint="eastAsia"/>
          <w:b w:val="0"/>
          <w:bCs w:val="0"/>
          <w:spacing w:val="-4"/>
          <w:sz w:val="32"/>
          <w:szCs w:val="32"/>
        </w:rPr>
        <w:br/>
        <w:t>指标2：围墙工程费用，预期指标值：≤13.29万元，实际完成值13.29万元，指标完成率100%；</w:t>
      </w:r>
      <w:r>
        <w:rPr>
          <w:rStyle w:val="ad"/>
          <w:rFonts w:ascii="楷体" w:eastAsia="楷体" w:hAnsi="楷体" w:hint="eastAsia"/>
          <w:b w:val="0"/>
          <w:bCs w:val="0"/>
          <w:spacing w:val="-4"/>
          <w:sz w:val="32"/>
          <w:szCs w:val="32"/>
        </w:rPr>
        <w:br/>
        <w:t>指标3：路灯工程费用，预期指标值：≤22.37万元，实际完成值22.37万元，指标完成率100%；</w:t>
      </w:r>
      <w:r>
        <w:rPr>
          <w:rStyle w:val="ad"/>
          <w:rFonts w:ascii="楷体" w:eastAsia="楷体" w:hAnsi="楷体" w:hint="eastAsia"/>
          <w:b w:val="0"/>
          <w:bCs w:val="0"/>
          <w:spacing w:val="-4"/>
          <w:sz w:val="32"/>
          <w:szCs w:val="32"/>
        </w:rPr>
        <w:br/>
        <w:t>指标4：室内装饰装修，预期指标值：≤7.78万元，实际完成值7.78万元，指标完成率100%；</w:t>
      </w:r>
      <w:r>
        <w:rPr>
          <w:rStyle w:val="ad"/>
          <w:rFonts w:ascii="楷体" w:eastAsia="楷体" w:hAnsi="楷体" w:hint="eastAsia"/>
          <w:b w:val="0"/>
          <w:bCs w:val="0"/>
          <w:spacing w:val="-4"/>
          <w:sz w:val="32"/>
          <w:szCs w:val="32"/>
        </w:rPr>
        <w:br/>
        <w:t>指标5：暖气管道改造，预期指标值：≤17.57万元，实际完成值17.57万元，指标完成率100%；</w:t>
      </w:r>
      <w:r>
        <w:rPr>
          <w:rStyle w:val="ad"/>
          <w:rFonts w:ascii="楷体" w:eastAsia="楷体" w:hAnsi="楷体" w:hint="eastAsia"/>
          <w:b w:val="0"/>
          <w:bCs w:val="0"/>
          <w:spacing w:val="-4"/>
          <w:sz w:val="32"/>
          <w:szCs w:val="32"/>
        </w:rPr>
        <w:br/>
        <w:t>指标6：维修维护工程，预期指标值：≤8.56万元，实际完成值8.56，指标完成率100%（指标完成率=（实际完成值/指标值）*100%）；</w:t>
      </w:r>
      <w:r>
        <w:rPr>
          <w:rStyle w:val="ad"/>
          <w:rFonts w:ascii="楷体" w:eastAsia="楷体" w:hAnsi="楷体" w:hint="eastAsia"/>
          <w:b w:val="0"/>
          <w:bCs w:val="0"/>
          <w:spacing w:val="-4"/>
          <w:sz w:val="32"/>
          <w:szCs w:val="32"/>
        </w:rPr>
        <w:br/>
        <w:t>指标7：设计、审计及监理等其他费用，预期指标值：≤6.85万元，实际完成值6.85，指标完成率100%。</w:t>
      </w:r>
      <w:r>
        <w:rPr>
          <w:rStyle w:val="ad"/>
          <w:rFonts w:ascii="楷体" w:eastAsia="楷体" w:hAnsi="楷体" w:hint="eastAsia"/>
          <w:b w:val="0"/>
          <w:bCs w:val="0"/>
          <w:spacing w:val="-4"/>
          <w:sz w:val="32"/>
          <w:szCs w:val="32"/>
        </w:rPr>
        <w:br/>
        <w:t>综上所述，本指标满分为10分，根据评分标准得10分。</w:t>
      </w:r>
    </w:p>
    <w:p w14:paraId="7408E2D5" w14:textId="77777777" w:rsidR="002C208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13F30DD4" w14:textId="77777777"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我单位2024年中央现代职业教育质量提升计划资金项目截止到2024年12月31日，已完成受益学生数227人；其中：</w:t>
      </w:r>
      <w:r>
        <w:rPr>
          <w:rStyle w:val="ad"/>
          <w:rFonts w:ascii="楷体" w:eastAsia="楷体" w:hAnsi="楷体" w:hint="eastAsia"/>
          <w:b w:val="0"/>
          <w:bCs w:val="0"/>
          <w:spacing w:val="-4"/>
          <w:sz w:val="32"/>
          <w:szCs w:val="32"/>
        </w:rPr>
        <w:br/>
        <w:t>1.经济效益指标完成情况分析：</w:t>
      </w:r>
      <w:r>
        <w:rPr>
          <w:rStyle w:val="ad"/>
          <w:rFonts w:ascii="楷体" w:eastAsia="楷体" w:hAnsi="楷体" w:hint="eastAsia"/>
          <w:b w:val="0"/>
          <w:bCs w:val="0"/>
          <w:spacing w:val="-4"/>
          <w:sz w:val="32"/>
          <w:szCs w:val="32"/>
        </w:rPr>
        <w:br/>
        <w:t>本项目无该指标。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2.社会效益指标完成情况分析</w:t>
      </w:r>
      <w:r>
        <w:rPr>
          <w:rStyle w:val="ad"/>
          <w:rFonts w:ascii="楷体" w:eastAsia="楷体" w:hAnsi="楷体" w:hint="eastAsia"/>
          <w:b w:val="0"/>
          <w:bCs w:val="0"/>
          <w:spacing w:val="-4"/>
          <w:sz w:val="32"/>
          <w:szCs w:val="32"/>
        </w:rPr>
        <w:br/>
        <w:t>指标1：受益学生数，预期指标值：≥227人，实际完成值227人，指标完成率100%。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3.项目实施的生态效益分析</w:t>
      </w:r>
      <w:r>
        <w:rPr>
          <w:rStyle w:val="ad"/>
          <w:rFonts w:ascii="楷体" w:eastAsia="楷体" w:hAnsi="楷体" w:hint="eastAsia"/>
          <w:b w:val="0"/>
          <w:bCs w:val="0"/>
          <w:spacing w:val="-4"/>
          <w:sz w:val="32"/>
          <w:szCs w:val="32"/>
        </w:rPr>
        <w:br/>
        <w:t>本项目无该指标。</w:t>
      </w:r>
    </w:p>
    <w:p w14:paraId="6E6628A6" w14:textId="77777777"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指标1：师生满意度，预期指标值：≥95%，实际完成值95%，指标完成率100%（指标完成率=（实际完成值/指标值）*100%）。</w:t>
      </w:r>
      <w:r>
        <w:rPr>
          <w:rStyle w:val="ad"/>
          <w:rFonts w:ascii="楷体" w:eastAsia="楷体" w:hAnsi="楷体" w:hint="eastAsia"/>
          <w:b w:val="0"/>
          <w:bCs w:val="0"/>
          <w:spacing w:val="-4"/>
          <w:sz w:val="32"/>
          <w:szCs w:val="32"/>
        </w:rPr>
        <w:br/>
        <w:t>综上所述，本指标满分为10分，根据评分标准得10分。</w:t>
      </w:r>
    </w:p>
    <w:p w14:paraId="60324FB4" w14:textId="77777777" w:rsidR="002C208D" w:rsidRDefault="002C208D">
      <w:pPr>
        <w:spacing w:line="540" w:lineRule="exact"/>
        <w:ind w:firstLine="567"/>
        <w:rPr>
          <w:rStyle w:val="ad"/>
          <w:rFonts w:ascii="楷体" w:eastAsia="楷体" w:hAnsi="楷体" w:hint="eastAsia"/>
          <w:b w:val="0"/>
          <w:bCs w:val="0"/>
          <w:spacing w:val="-4"/>
          <w:sz w:val="32"/>
          <w:szCs w:val="32"/>
        </w:rPr>
      </w:pPr>
    </w:p>
    <w:p w14:paraId="05289FB6" w14:textId="77777777" w:rsidR="002C208D" w:rsidRDefault="002C208D">
      <w:pPr>
        <w:spacing w:line="540" w:lineRule="exact"/>
        <w:ind w:firstLine="567"/>
        <w:rPr>
          <w:rStyle w:val="ad"/>
          <w:rFonts w:ascii="楷体" w:eastAsia="楷体" w:hAnsi="楷体" w:hint="eastAsia"/>
          <w:spacing w:val="-4"/>
          <w:sz w:val="32"/>
          <w:szCs w:val="32"/>
        </w:rPr>
      </w:pPr>
    </w:p>
    <w:p w14:paraId="0283AB24" w14:textId="77777777" w:rsidR="002C208D"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10492307" w14:textId="77777777" w:rsidR="002C208D"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（1）是领导高度重视。专项资金预算下拨后，主要领导和分管领导高度重视，落实责任分工，确保项目顺利进行。</w:t>
      </w:r>
      <w:r>
        <w:rPr>
          <w:rStyle w:val="ad"/>
          <w:rFonts w:ascii="楷体" w:eastAsia="楷体" w:hAnsi="楷体" w:hint="eastAsia"/>
          <w:b w:val="0"/>
          <w:bCs w:val="0"/>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Pr>
          <w:rStyle w:val="ad"/>
          <w:rFonts w:ascii="楷体" w:eastAsia="楷体" w:hAnsi="楷体" w:hint="eastAsia"/>
          <w:b w:val="0"/>
          <w:bCs w:val="0"/>
          <w:spacing w:val="-4"/>
          <w:sz w:val="32"/>
          <w:szCs w:val="32"/>
        </w:rPr>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r>
        <w:rPr>
          <w:rStyle w:val="ad"/>
          <w:rFonts w:ascii="楷体" w:eastAsia="楷体" w:hAnsi="楷体" w:hint="eastAsia"/>
          <w:b w:val="0"/>
          <w:bCs w:val="0"/>
          <w:spacing w:val="-4"/>
          <w:sz w:val="32"/>
          <w:szCs w:val="32"/>
        </w:rPr>
        <w:br/>
        <w:t>（4）进一步加强项目管理和协调服务，全力推进项目建设。推</w:t>
      </w:r>
      <w:r>
        <w:rPr>
          <w:rStyle w:val="ad"/>
          <w:rFonts w:ascii="楷体" w:eastAsia="楷体" w:hAnsi="楷体" w:hint="eastAsia"/>
          <w:b w:val="0"/>
          <w:bCs w:val="0"/>
          <w:spacing w:val="-4"/>
          <w:sz w:val="32"/>
          <w:szCs w:val="32"/>
        </w:rPr>
        <w:lastRenderedPageBreak/>
        <w:t>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Pr>
          <w:rStyle w:val="ad"/>
          <w:rFonts w:ascii="楷体" w:eastAsia="楷体" w:hAnsi="楷体" w:hint="eastAsia"/>
          <w:b w:val="0"/>
          <w:bCs w:val="0"/>
          <w:spacing w:val="-4"/>
          <w:sz w:val="32"/>
          <w:szCs w:val="32"/>
        </w:rPr>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Pr>
          <w:rStyle w:val="ad"/>
          <w:rFonts w:ascii="楷体" w:eastAsia="楷体" w:hAnsi="楷体" w:hint="eastAsia"/>
          <w:b w:val="0"/>
          <w:bCs w:val="0"/>
          <w:spacing w:val="-4"/>
          <w:sz w:val="32"/>
          <w:szCs w:val="32"/>
        </w:rPr>
        <w:t>编印承报上级</w:t>
      </w:r>
      <w:proofErr w:type="gramEnd"/>
      <w:r>
        <w:rPr>
          <w:rStyle w:val="ad"/>
          <w:rFonts w:ascii="楷体" w:eastAsia="楷体" w:hAnsi="楷体" w:hint="eastAsia"/>
          <w:b w:val="0"/>
          <w:bCs w:val="0"/>
          <w:spacing w:val="-4"/>
          <w:sz w:val="32"/>
          <w:szCs w:val="32"/>
        </w:rPr>
        <w:t>部门和各级领导。</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项目前期工作不全面，没有深入细致科学规划地做好各项前期工作，项目实施前期已根据项目建设内容设置绩效目标，但项目绩效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科学的预算编制应该保证预算和目标在质和量上相匹配，即一方面预算应该根据目标来编制，保证每一个目标的实现均有相应的预算安排，另一方面应在合理测算工作量的基础上保证预算编制</w:t>
      </w:r>
      <w:r>
        <w:rPr>
          <w:rStyle w:val="ad"/>
          <w:rFonts w:ascii="楷体" w:eastAsia="楷体" w:hAnsi="楷体" w:hint="eastAsia"/>
          <w:b w:val="0"/>
          <w:bCs w:val="0"/>
          <w:spacing w:val="-4"/>
          <w:sz w:val="32"/>
          <w:szCs w:val="32"/>
        </w:rPr>
        <w:lastRenderedPageBreak/>
        <w:t>的准确性。</w:t>
      </w:r>
      <w:r>
        <w:rPr>
          <w:rStyle w:val="ad"/>
          <w:rFonts w:ascii="楷体" w:eastAsia="楷体" w:hAnsi="楷体" w:hint="eastAsia"/>
          <w:b w:val="0"/>
          <w:bCs w:val="0"/>
          <w:spacing w:val="-4"/>
          <w:sz w:val="32"/>
          <w:szCs w:val="32"/>
        </w:rPr>
        <w:br/>
        <w:t>对此，预算单位会同财政部门共同梳理项目绩效目标，合理测算项目工作量，科学编制预算。</w:t>
      </w:r>
    </w:p>
    <w:p w14:paraId="60D177B2" w14:textId="77777777" w:rsidR="002C208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5EE9C253" w14:textId="77777777" w:rsidR="002C208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Pr>
          <w:rStyle w:val="ad"/>
          <w:rFonts w:ascii="楷体" w:eastAsia="楷体" w:hAnsi="楷体" w:hint="eastAsia"/>
          <w:b w:val="0"/>
          <w:bCs w:val="0"/>
          <w:spacing w:val="-4"/>
          <w:sz w:val="32"/>
          <w:szCs w:val="32"/>
        </w:rPr>
        <w:br/>
        <w:t>2.健全制度，加强督促。针对项目实施中存在的问题，进一步完善相关制度，加强督促检查，确保质量安全和建设进度；同时及时完善资料，妥善保管档案。</w:t>
      </w:r>
    </w:p>
    <w:p w14:paraId="48D0E21D" w14:textId="77777777" w:rsidR="002C208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107F44F6" w14:textId="77777777" w:rsidR="002C20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1.本次预算绩效评价所采集的数据因为采集时间、数据来源等诸多因素的影响，可能会出现一定的偏差，进而对评价结果存在影响；</w:t>
      </w:r>
    </w:p>
    <w:p w14:paraId="7D853D59" w14:textId="77777777" w:rsidR="002C208D" w:rsidRDefault="002C208D">
      <w:pPr>
        <w:spacing w:line="540" w:lineRule="exact"/>
        <w:ind w:firstLine="567"/>
        <w:rPr>
          <w:rStyle w:val="ad"/>
          <w:rFonts w:ascii="仿宋" w:eastAsia="仿宋" w:hAnsi="仿宋" w:hint="eastAsia"/>
          <w:b w:val="0"/>
          <w:spacing w:val="-4"/>
          <w:sz w:val="32"/>
          <w:szCs w:val="32"/>
        </w:rPr>
      </w:pPr>
    </w:p>
    <w:p w14:paraId="7B8F7112" w14:textId="77777777" w:rsidR="002C208D" w:rsidRDefault="002C208D">
      <w:pPr>
        <w:spacing w:line="540" w:lineRule="exact"/>
        <w:ind w:firstLine="567"/>
        <w:rPr>
          <w:rStyle w:val="ad"/>
          <w:rFonts w:ascii="仿宋" w:eastAsia="仿宋" w:hAnsi="仿宋" w:hint="eastAsia"/>
          <w:b w:val="0"/>
          <w:spacing w:val="-4"/>
          <w:sz w:val="32"/>
          <w:szCs w:val="32"/>
        </w:rPr>
      </w:pPr>
    </w:p>
    <w:p w14:paraId="48F1B58D" w14:textId="77777777" w:rsidR="002C208D" w:rsidRDefault="002C208D">
      <w:pPr>
        <w:spacing w:line="540" w:lineRule="exact"/>
        <w:ind w:firstLine="567"/>
        <w:rPr>
          <w:rStyle w:val="ad"/>
          <w:rFonts w:ascii="仿宋" w:eastAsia="仿宋" w:hAnsi="仿宋" w:hint="eastAsia"/>
          <w:b w:val="0"/>
          <w:spacing w:val="-4"/>
          <w:sz w:val="32"/>
          <w:szCs w:val="32"/>
        </w:rPr>
      </w:pPr>
    </w:p>
    <w:p w14:paraId="7BCEBF5B" w14:textId="77777777" w:rsidR="002C208D" w:rsidRDefault="002C208D">
      <w:pPr>
        <w:spacing w:line="540" w:lineRule="exact"/>
        <w:ind w:firstLine="567"/>
        <w:rPr>
          <w:rStyle w:val="ad"/>
          <w:rFonts w:ascii="仿宋" w:eastAsia="仿宋" w:hAnsi="仿宋" w:hint="eastAsia"/>
          <w:b w:val="0"/>
          <w:spacing w:val="-4"/>
          <w:sz w:val="32"/>
          <w:szCs w:val="32"/>
        </w:rPr>
      </w:pPr>
    </w:p>
    <w:p w14:paraId="458FFDCB" w14:textId="77777777" w:rsidR="002C208D" w:rsidRDefault="002C208D">
      <w:pPr>
        <w:spacing w:line="540" w:lineRule="exact"/>
        <w:ind w:firstLine="567"/>
        <w:rPr>
          <w:rStyle w:val="ad"/>
          <w:rFonts w:ascii="仿宋" w:eastAsia="仿宋" w:hAnsi="仿宋" w:hint="eastAsia"/>
          <w:b w:val="0"/>
          <w:spacing w:val="-4"/>
          <w:sz w:val="32"/>
          <w:szCs w:val="32"/>
        </w:rPr>
      </w:pPr>
    </w:p>
    <w:sectPr w:rsidR="002C208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B3107" w14:textId="77777777" w:rsidR="00BA1512" w:rsidRDefault="00BA1512">
      <w:r>
        <w:separator/>
      </w:r>
    </w:p>
  </w:endnote>
  <w:endnote w:type="continuationSeparator" w:id="0">
    <w:p w14:paraId="6B843538" w14:textId="77777777" w:rsidR="00BA1512" w:rsidRDefault="00BA1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1A8E1133" w14:textId="77777777" w:rsidR="002C208D" w:rsidRDefault="00000000">
        <w:pPr>
          <w:pStyle w:val="a5"/>
          <w:jc w:val="center"/>
        </w:pPr>
        <w:r>
          <w:fldChar w:fldCharType="begin"/>
        </w:r>
        <w:r>
          <w:instrText>PAGE   \* MERGEFORMAT</w:instrText>
        </w:r>
        <w:r>
          <w:fldChar w:fldCharType="separate"/>
        </w:r>
        <w:r>
          <w:rPr>
            <w:lang w:val="zh-CN"/>
          </w:rPr>
          <w:t>2</w:t>
        </w:r>
        <w:r>
          <w:fldChar w:fldCharType="end"/>
        </w:r>
      </w:p>
    </w:sdtContent>
  </w:sdt>
  <w:p w14:paraId="5736842E" w14:textId="77777777" w:rsidR="002C208D" w:rsidRDefault="002C208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A3E0F" w14:textId="77777777" w:rsidR="00BA1512" w:rsidRDefault="00BA1512">
      <w:r>
        <w:separator/>
      </w:r>
    </w:p>
  </w:footnote>
  <w:footnote w:type="continuationSeparator" w:id="0">
    <w:p w14:paraId="69F26736" w14:textId="77777777" w:rsidR="00BA1512" w:rsidRDefault="00BA15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08234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C208D"/>
    <w:rsid w:val="00311DBE"/>
    <w:rsid w:val="00354CDB"/>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1512"/>
    <w:rsid w:val="00BA46E6"/>
    <w:rsid w:val="00C56C72"/>
    <w:rsid w:val="00CA6457"/>
    <w:rsid w:val="00CE2FD9"/>
    <w:rsid w:val="00D17F2E"/>
    <w:rsid w:val="00D30354"/>
    <w:rsid w:val="00DF42A0"/>
    <w:rsid w:val="00E30E91"/>
    <w:rsid w:val="00E769FE"/>
    <w:rsid w:val="00EA2CBE"/>
    <w:rsid w:val="00F32FEE"/>
    <w:rsid w:val="00FB10BB"/>
    <w:rsid w:val="00FD7C6A"/>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793A6"/>
  <w15:docId w15:val="{40981ACC-0C3B-43D3-A397-65075D3B2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5230</Words>
  <Characters>5545</Characters>
  <Application>Microsoft Office Word</Application>
  <DocSecurity>0</DocSecurity>
  <Lines>264</Lines>
  <Paragraphs>38</Paragraphs>
  <ScaleCrop>false</ScaleCrop>
  <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